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48" w:rsidRDefault="00092048" w:rsidP="00194D1E">
      <w:pPr>
        <w:rPr>
          <w:rFonts w:eastAsiaTheme="minorHAnsi"/>
        </w:rPr>
      </w:pPr>
    </w:p>
    <w:p w:rsidR="00194D1E" w:rsidRDefault="00194D1E" w:rsidP="00194D1E">
      <w:pPr>
        <w:rPr>
          <w:rFonts w:eastAsiaTheme="minorHAnsi"/>
        </w:rPr>
      </w:pPr>
    </w:p>
    <w:p w:rsidR="00194D1E" w:rsidRDefault="00194D1E" w:rsidP="00194D1E">
      <w:pPr>
        <w:rPr>
          <w:rFonts w:eastAsiaTheme="minorHAnsi"/>
        </w:rPr>
      </w:pPr>
    </w:p>
    <w:p w:rsidR="00194D1E" w:rsidRDefault="00194D1E" w:rsidP="00194D1E">
      <w:pPr>
        <w:jc w:val="center"/>
        <w:rPr>
          <w:rFonts w:eastAsiaTheme="minorHAnsi"/>
          <w:sz w:val="22"/>
        </w:rPr>
      </w:pPr>
    </w:p>
    <w:p w:rsidR="00194D1E" w:rsidRDefault="00194D1E" w:rsidP="00194D1E">
      <w:pPr>
        <w:jc w:val="center"/>
        <w:rPr>
          <w:rFonts w:eastAsiaTheme="minorHAnsi"/>
          <w:sz w:val="22"/>
        </w:rPr>
      </w:pPr>
    </w:p>
    <w:p w:rsidR="00194D1E" w:rsidRDefault="00194D1E" w:rsidP="00194D1E">
      <w:pPr>
        <w:jc w:val="center"/>
        <w:rPr>
          <w:rFonts w:eastAsiaTheme="minorHAnsi"/>
          <w:sz w:val="22"/>
        </w:rPr>
      </w:pPr>
    </w:p>
    <w:p w:rsidR="00194D1E" w:rsidRDefault="00194D1E" w:rsidP="00194D1E">
      <w:pPr>
        <w:jc w:val="center"/>
        <w:rPr>
          <w:rFonts w:eastAsiaTheme="minorHAnsi"/>
          <w:b/>
          <w:sz w:val="22"/>
        </w:rPr>
      </w:pPr>
    </w:p>
    <w:p w:rsidR="00194D1E" w:rsidRDefault="00194D1E" w:rsidP="00194D1E">
      <w:pPr>
        <w:jc w:val="center"/>
        <w:rPr>
          <w:rFonts w:eastAsiaTheme="minorHAnsi"/>
          <w:b/>
          <w:sz w:val="22"/>
        </w:rPr>
      </w:pPr>
    </w:p>
    <w:p w:rsidR="00194D1E" w:rsidRDefault="00194D1E" w:rsidP="00194D1E">
      <w:pPr>
        <w:jc w:val="center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COMISSÃO DE </w:t>
      </w:r>
      <w:r w:rsidR="00736C02">
        <w:rPr>
          <w:rFonts w:eastAsiaTheme="minorHAnsi"/>
          <w:b/>
          <w:sz w:val="22"/>
        </w:rPr>
        <w:t>FINANÇAS E ORÇAMENTOS</w:t>
      </w:r>
    </w:p>
    <w:p w:rsidR="00194D1E" w:rsidRDefault="00194D1E" w:rsidP="00194D1E">
      <w:pPr>
        <w:jc w:val="center"/>
        <w:rPr>
          <w:rFonts w:eastAsiaTheme="minorHAnsi"/>
          <w:b/>
          <w:sz w:val="22"/>
        </w:rPr>
      </w:pPr>
    </w:p>
    <w:p w:rsidR="00194D1E" w:rsidRDefault="00194D1E" w:rsidP="00194D1E">
      <w:pPr>
        <w:jc w:val="center"/>
        <w:rPr>
          <w:rFonts w:eastAsiaTheme="minorHAnsi"/>
          <w:b/>
          <w:sz w:val="22"/>
        </w:rPr>
      </w:pPr>
    </w:p>
    <w:p w:rsidR="00194D1E" w:rsidRDefault="00194D1E" w:rsidP="00194D1E">
      <w:pPr>
        <w:spacing w:line="360" w:lineRule="auto"/>
        <w:ind w:left="5103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Parecer ao Anteprojeto de Lei 23/2016 (do Poder Executivo Municipal) – Abre novas vagas para os cargos de Professor e Educador Infantil e dá outras providências.</w:t>
      </w:r>
    </w:p>
    <w:p w:rsidR="00194D1E" w:rsidRDefault="00194D1E" w:rsidP="00194D1E">
      <w:pPr>
        <w:spacing w:line="360" w:lineRule="auto"/>
        <w:rPr>
          <w:rFonts w:eastAsiaTheme="minorHAnsi"/>
          <w:sz w:val="22"/>
        </w:rPr>
      </w:pPr>
    </w:p>
    <w:p w:rsidR="00194D1E" w:rsidRDefault="00194D1E" w:rsidP="00194D1E">
      <w:pPr>
        <w:spacing w:line="360" w:lineRule="auto"/>
        <w:rPr>
          <w:rFonts w:eastAsiaTheme="minorHAnsi"/>
          <w:sz w:val="22"/>
        </w:rPr>
      </w:pPr>
    </w:p>
    <w:p w:rsidR="00194D1E" w:rsidRDefault="00194D1E" w:rsidP="00194D1E">
      <w:pPr>
        <w:spacing w:line="360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I – RELATÓRIO</w:t>
      </w:r>
    </w:p>
    <w:p w:rsidR="00194D1E" w:rsidRDefault="00194D1E" w:rsidP="00194D1E">
      <w:pPr>
        <w:spacing w:line="360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ab/>
      </w:r>
    </w:p>
    <w:p w:rsidR="00194D1E" w:rsidRDefault="00194D1E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No dia 16 de junho de 2016, às 08h 37min 53seg, após pedido de arquivamento do anteprojeto 11/2016, que apresenta conteúdo semelhante, o Senhor Prefeito do Município de Itaúna do Sul, Pedro </w:t>
      </w:r>
      <w:proofErr w:type="spellStart"/>
      <w:r>
        <w:rPr>
          <w:rFonts w:eastAsiaTheme="minorHAnsi"/>
          <w:sz w:val="22"/>
        </w:rPr>
        <w:t>Castanhari</w:t>
      </w:r>
      <w:proofErr w:type="spellEnd"/>
      <w:r>
        <w:rPr>
          <w:rFonts w:eastAsiaTheme="minorHAnsi"/>
          <w:sz w:val="22"/>
        </w:rPr>
        <w:t>, protocolou na Secretaria da Câmara o Anteprojeto de lei 23/2016, que abre novas vagas para os cargos de Professor e Educador Infantil e dá outras providências, em caráter de urgência.</w:t>
      </w:r>
    </w:p>
    <w:p w:rsidR="00194D1E" w:rsidRDefault="00194D1E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Respeitando o pedido de urgência do autor da proposição, encaminhou-se a matéria para análise da Assessoria Jurídica da Casa, uma vez que é sempre necessário verificar-se a inexistência de vícios, tanto técnicos, como de iniciativa. Nesta fase, seguindo a Lei Complementar </w:t>
      </w:r>
      <w:r w:rsidR="00700843">
        <w:rPr>
          <w:rFonts w:eastAsiaTheme="minorHAnsi"/>
          <w:sz w:val="22"/>
        </w:rPr>
        <w:t>101/2000 (Lei de Responsabilidade Fiscal), a Assessoria apontou a ausência de impacto financeiro. Provocada, a Comissão de Legislação, Justiça e Redação Final notificou o Prefeito Municipal para que encaminhasse os documentos necessários.</w:t>
      </w:r>
    </w:p>
    <w:p w:rsidR="00700843" w:rsidRDefault="00700843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Sanado o vício, novamente remetido à Assessoria Jurídica da Câmara, </w:t>
      </w:r>
      <w:r w:rsidR="00D01443">
        <w:rPr>
          <w:rFonts w:eastAsiaTheme="minorHAnsi"/>
          <w:sz w:val="22"/>
        </w:rPr>
        <w:t xml:space="preserve">apontou-se que o índice de gastos com pessoal estava dentro do limite prudencial (entre 51,3% </w:t>
      </w:r>
      <w:r w:rsidR="008702DD">
        <w:rPr>
          <w:rFonts w:eastAsiaTheme="minorHAnsi"/>
          <w:sz w:val="22"/>
        </w:rPr>
        <w:t>e 54% da receita do município), o que traz algumas vedações ao município.</w:t>
      </w:r>
    </w:p>
    <w:p w:rsidR="008702DD" w:rsidRDefault="008702DD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Pautado para a sessão plenária de 27 de junho, os nove vereadores votaram pelo não-provimento da concessão de urgência. O projeto seguiu imediatamente para esta Comissão de Legislação, Justiça e Redação Final para elaboração de </w:t>
      </w:r>
      <w:r>
        <w:rPr>
          <w:rFonts w:eastAsiaTheme="minorHAnsi"/>
          <w:sz w:val="22"/>
        </w:rPr>
        <w:lastRenderedPageBreak/>
        <w:t>parecer.</w:t>
      </w:r>
      <w:r w:rsidR="00736C02">
        <w:rPr>
          <w:rFonts w:eastAsiaTheme="minorHAnsi"/>
          <w:sz w:val="22"/>
        </w:rPr>
        <w:t xml:space="preserve"> Apresentado o parecer da Comissão com a presença de Emenda Modificativa, tal proposição seguiu para análise da Comissão de Finanças e Orçamentos.</w:t>
      </w:r>
    </w:p>
    <w:p w:rsidR="00736C02" w:rsidRDefault="00736C02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736C02" w:rsidRDefault="00736C02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8702DD" w:rsidRDefault="008702DD" w:rsidP="008702DD">
      <w:pPr>
        <w:spacing w:line="360" w:lineRule="auto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II – ANÁLISE</w:t>
      </w:r>
    </w:p>
    <w:p w:rsidR="008702DD" w:rsidRDefault="008702DD" w:rsidP="008702DD">
      <w:pPr>
        <w:spacing w:line="360" w:lineRule="auto"/>
        <w:jc w:val="both"/>
        <w:rPr>
          <w:rFonts w:eastAsiaTheme="minorHAnsi"/>
          <w:b/>
          <w:sz w:val="22"/>
        </w:rPr>
      </w:pPr>
    </w:p>
    <w:p w:rsidR="00114CAB" w:rsidRDefault="00651C43" w:rsidP="00651C43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A criação de vagas em um período de limite prudencial atingido exige um estudo complexo por parte dos parlamentares. Segue trecho da Lei de Responsabilidade Fiscal (101/2000).</w:t>
      </w:r>
    </w:p>
    <w:p w:rsidR="00651C43" w:rsidRDefault="00651C43" w:rsidP="00651C43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651C43" w:rsidRDefault="00651C43" w:rsidP="00651C43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Art. 18: </w:t>
      </w:r>
      <w:r>
        <w:rPr>
          <w:rFonts w:eastAsiaTheme="minorHAnsi"/>
          <w:sz w:val="22"/>
        </w:rPr>
        <w:t>Para os efeitos desta Lei Complementar, entende-se como despesa total com pessoal: o somatório dos gastos do ente da Federação com os ativos, os inativos e os pensionistas, relativos a mandatos eletivos, cargos, funções ou empregos, civis, militares 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</w:t>
      </w:r>
    </w:p>
    <w:p w:rsidR="00651C43" w:rsidRDefault="00651C43" w:rsidP="00651C43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§1° -  </w:t>
      </w:r>
      <w:r>
        <w:rPr>
          <w:rFonts w:eastAsiaTheme="minorHAnsi"/>
          <w:sz w:val="22"/>
        </w:rPr>
        <w:t>Os valores de contratos de terceirização de mão-de-obra que se referem à substituição de servidores e empregados públicos serão contabilizados como “Outras Despesas de Pessoal”.</w:t>
      </w:r>
    </w:p>
    <w:p w:rsidR="00651C43" w:rsidRDefault="00651C43" w:rsidP="00651C43">
      <w:pPr>
        <w:spacing w:line="360" w:lineRule="auto"/>
        <w:jc w:val="both"/>
        <w:rPr>
          <w:rFonts w:eastAsiaTheme="minorHAnsi"/>
          <w:b/>
          <w:sz w:val="22"/>
        </w:rPr>
      </w:pPr>
    </w:p>
    <w:p w:rsidR="00651C43" w:rsidRDefault="00EC2B35" w:rsidP="00651C43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A LRF estabelece ainda os limites de despesa com pessoal, em seu artigo 19 e 20. Em municípios, tal índice não pode ser superior a 60% (54% para o Poder Executivo e 6% para o Poder Legislativo). No Manual de Encerramento de Mandato, emitido pelo Tribunal de Contas do Estado do Paraná, fica esclarecido que quando esse limite alcançar 90%, o Tribunal emite um alerta ao Poder. Atingido 95%, </w:t>
      </w:r>
      <w:r w:rsidR="00947A05">
        <w:rPr>
          <w:rFonts w:eastAsiaTheme="minorHAnsi"/>
          <w:sz w:val="22"/>
        </w:rPr>
        <w:t>são vedados ao órgão:</w:t>
      </w:r>
    </w:p>
    <w:p w:rsidR="00947A05" w:rsidRDefault="00947A05" w:rsidP="00651C43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947A05" w:rsidRDefault="00947A05" w:rsidP="00AA2860">
      <w:pPr>
        <w:spacing w:line="276" w:lineRule="auto"/>
        <w:ind w:left="2835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Art. 22 – [...]</w:t>
      </w:r>
    </w:p>
    <w:p w:rsidR="00947A05" w:rsidRDefault="00947A05" w:rsidP="00AA2860">
      <w:pPr>
        <w:spacing w:line="276" w:lineRule="auto"/>
        <w:ind w:left="2835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Parágrafo único – [...]</w:t>
      </w:r>
    </w:p>
    <w:p w:rsidR="00947A05" w:rsidRDefault="00947A05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I – </w:t>
      </w:r>
      <w:proofErr w:type="gramStart"/>
      <w:r>
        <w:rPr>
          <w:rFonts w:eastAsiaTheme="minorHAnsi"/>
          <w:sz w:val="22"/>
        </w:rPr>
        <w:t>concessão</w:t>
      </w:r>
      <w:proofErr w:type="gramEnd"/>
      <w:r>
        <w:rPr>
          <w:rFonts w:eastAsiaTheme="minorHAnsi"/>
          <w:sz w:val="22"/>
        </w:rPr>
        <w:t xml:space="preserve"> de vantagem, aumento, reajuste ou adequação de remuneração [...];</w:t>
      </w:r>
    </w:p>
    <w:p w:rsidR="00947A05" w:rsidRDefault="00947A05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II – </w:t>
      </w:r>
      <w:proofErr w:type="gramStart"/>
      <w:r>
        <w:rPr>
          <w:rFonts w:eastAsiaTheme="minorHAnsi"/>
          <w:sz w:val="22"/>
        </w:rPr>
        <w:t>criação</w:t>
      </w:r>
      <w:proofErr w:type="gramEnd"/>
      <w:r>
        <w:rPr>
          <w:rFonts w:eastAsiaTheme="minorHAnsi"/>
          <w:sz w:val="22"/>
        </w:rPr>
        <w:t xml:space="preserve"> de cargo, emprego ou função;</w:t>
      </w:r>
    </w:p>
    <w:p w:rsidR="00947A05" w:rsidRDefault="00AA2860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III – </w:t>
      </w:r>
      <w:r>
        <w:rPr>
          <w:rFonts w:eastAsiaTheme="minorHAnsi"/>
          <w:sz w:val="22"/>
        </w:rPr>
        <w:t>alteração de estrutura de carreira que implique aumento de despesa;</w:t>
      </w: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lastRenderedPageBreak/>
        <w:t xml:space="preserve">IV – </w:t>
      </w:r>
      <w:proofErr w:type="gramStart"/>
      <w:r>
        <w:rPr>
          <w:rFonts w:eastAsiaTheme="minorHAnsi"/>
          <w:sz w:val="22"/>
        </w:rPr>
        <w:t>provimento</w:t>
      </w:r>
      <w:proofErr w:type="gramEnd"/>
      <w:r>
        <w:rPr>
          <w:rFonts w:eastAsiaTheme="minorHAnsi"/>
          <w:sz w:val="22"/>
        </w:rPr>
        <w:t xml:space="preserve"> de cargo público, admissão ou contratação de pessoal a qualquer título, ressalvada a reposição decorrente de aposentadoria ou falecimento de servidores das áreas de educação, saúde e segurança;</w:t>
      </w: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V – </w:t>
      </w:r>
      <w:proofErr w:type="gramStart"/>
      <w:r>
        <w:rPr>
          <w:rFonts w:eastAsiaTheme="minorHAnsi"/>
          <w:sz w:val="22"/>
        </w:rPr>
        <w:t>contratação</w:t>
      </w:r>
      <w:proofErr w:type="gramEnd"/>
      <w:r>
        <w:rPr>
          <w:rFonts w:eastAsiaTheme="minorHAnsi"/>
          <w:sz w:val="22"/>
        </w:rPr>
        <w:t xml:space="preserve"> de hora extra, salvo no caso do disposto no inciso II do §6° do art. 57 da Constituição e as situações previstas na lei de diretrizes orçamentárias.</w:t>
      </w: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sz w:val="22"/>
        </w:rPr>
      </w:pPr>
    </w:p>
    <w:p w:rsidR="00AA2860" w:rsidRDefault="00AA2860" w:rsidP="00AA2860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A grande polêmica que cerca a proposição se refere à possibilidade de criação de vagas com o índice prudencial atingido. Sobre isso, o Poder Executivo de Sinop, no Mato Grosso, formulou consulta ao Tribunal de Contas daquele estado em 2010, referente a um caso semelhante, pelo qual segue a resposta daquele tribunal:</w:t>
      </w:r>
    </w:p>
    <w:p w:rsidR="00AA2860" w:rsidRDefault="00AA2860" w:rsidP="00AA2860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[...]</w:t>
      </w: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3.4. Possibilidade de nomeações e criação de cargos para a área da educação face ao aumento da demanda e inclusão do município em programa federal</w:t>
      </w:r>
    </w:p>
    <w:p w:rsidR="00AA2860" w:rsidRDefault="00AA2860" w:rsidP="00AA2860">
      <w:pPr>
        <w:spacing w:line="276" w:lineRule="auto"/>
        <w:ind w:left="2835"/>
        <w:jc w:val="both"/>
        <w:rPr>
          <w:rFonts w:eastAsiaTheme="minorHAnsi"/>
          <w:b/>
          <w:sz w:val="22"/>
        </w:rPr>
      </w:pPr>
    </w:p>
    <w:p w:rsidR="003148B6" w:rsidRDefault="00AA2860" w:rsidP="003148B6">
      <w:pPr>
        <w:spacing w:line="276" w:lineRule="auto"/>
        <w:ind w:left="2835"/>
        <w:jc w:val="both"/>
        <w:rPr>
          <w:rFonts w:eastAsiaTheme="minorHAnsi"/>
          <w:b/>
          <w:sz w:val="22"/>
        </w:rPr>
      </w:pPr>
      <w:r>
        <w:rPr>
          <w:rFonts w:eastAsiaTheme="minorHAnsi"/>
          <w:sz w:val="22"/>
        </w:rPr>
        <w:t>Este ponto versa sobre a vedação imposta ao gestor tanto em criar cargo, emprego e função, quando a de dar provimento, ressalvadas as reposições permitidas pela lei, conforme já abordado nos itens anteriores. Frise-se que, de acordo com o exposto neste parecer, é possível o provimento de cargo público</w:t>
      </w:r>
      <w:r w:rsidR="003148B6">
        <w:rPr>
          <w:rFonts w:eastAsiaTheme="minorHAnsi"/>
          <w:sz w:val="22"/>
        </w:rPr>
        <w:t xml:space="preserve">, admissão e contratação de pessoal a qualquer título para substituição de pessoal decorrente de aposentadoria, falecimento, bem como nos casos de vacância decorrentes de exoneração, demissão ou dispensa, nas áreas de saúde, educação e segurança, desde que seja para realização de atividades finalísticas dessas áreas e que não haja aumento de gastos com pessoal. Nesses termos, é possível a reposição de pessoal, </w:t>
      </w:r>
      <w:r w:rsidR="003148B6">
        <w:rPr>
          <w:rFonts w:eastAsiaTheme="minorHAnsi"/>
          <w:b/>
          <w:sz w:val="22"/>
        </w:rPr>
        <w:t>mas não é possível o acréscimo de servidores nos quadros da Administração Pública.</w:t>
      </w:r>
    </w:p>
    <w:p w:rsidR="003148B6" w:rsidRDefault="003148B6" w:rsidP="003148B6">
      <w:pPr>
        <w:spacing w:line="276" w:lineRule="auto"/>
        <w:ind w:left="2835"/>
        <w:jc w:val="both"/>
        <w:rPr>
          <w:rFonts w:eastAsiaTheme="minorHAnsi"/>
          <w:b/>
          <w:sz w:val="22"/>
        </w:rPr>
      </w:pPr>
    </w:p>
    <w:p w:rsidR="003148B6" w:rsidRPr="003148B6" w:rsidRDefault="003148B6" w:rsidP="003148B6">
      <w:pPr>
        <w:spacing w:line="276" w:lineRule="auto"/>
        <w:ind w:left="2835"/>
        <w:jc w:val="both"/>
        <w:rPr>
          <w:rFonts w:eastAsiaTheme="minorHAnsi"/>
          <w:b/>
          <w:i/>
          <w:sz w:val="22"/>
        </w:rPr>
      </w:pPr>
      <w:r>
        <w:rPr>
          <w:rFonts w:eastAsiaTheme="minorHAnsi"/>
          <w:sz w:val="22"/>
        </w:rPr>
        <w:t xml:space="preserve">A criação de cargos, empregos e funções </w:t>
      </w:r>
      <w:r>
        <w:rPr>
          <w:rFonts w:eastAsiaTheme="minorHAnsi"/>
          <w:b/>
          <w:sz w:val="22"/>
        </w:rPr>
        <w:t xml:space="preserve">por si só não acarreta o aumento de gastos com pessoal, mas tão-somente a nomeação de servidores para o preenchimento destes. </w:t>
      </w:r>
      <w:r>
        <w:rPr>
          <w:rFonts w:eastAsiaTheme="minorHAnsi"/>
          <w:b/>
          <w:i/>
          <w:sz w:val="22"/>
        </w:rPr>
        <w:t>(Parecer de Consultoria Técnica – TCE/MT)</w:t>
      </w:r>
    </w:p>
    <w:p w:rsidR="003148B6" w:rsidRDefault="003148B6" w:rsidP="003148B6">
      <w:pPr>
        <w:spacing w:line="276" w:lineRule="auto"/>
        <w:ind w:left="2835"/>
        <w:jc w:val="both"/>
        <w:rPr>
          <w:rFonts w:eastAsiaTheme="minorHAnsi"/>
          <w:b/>
          <w:sz w:val="22"/>
        </w:rPr>
      </w:pPr>
    </w:p>
    <w:p w:rsidR="003148B6" w:rsidRDefault="003148B6" w:rsidP="003148B6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Sendo assim, nota-se que a simples criação de cargos, emprego ou função, ou, ainda, o aumento de vagas, não cria nenhuma despesa para o município. Porém o ato de provimento da vaga traz consigo um aumento de despesa que é proibido quando o índice de gastos com pessoal estiver acima do limite prudencial. Sugere o parecer do Tribunal de Contas </w:t>
      </w:r>
      <w:r>
        <w:rPr>
          <w:rFonts w:eastAsiaTheme="minorHAnsi"/>
          <w:sz w:val="22"/>
        </w:rPr>
        <w:lastRenderedPageBreak/>
        <w:t>do Mato Grosso, que o a melhor atitude a ser tomada pelo gestor, quando isso ocorrer, é avaliar a estrutura administrativa do Poder a fim de concluir qual a melhor saída para o atendimento do interesse público, uma vez que a Administração Pública deve priorizar o coletivo. Sendo assim, compete ao gestor avaliar se é necessário realizar cortes e como estes devem ser feitos, a fim de permitir a contratação de pessoal para atender o aumento da demanda na área da educação, por exemplo.</w:t>
      </w:r>
    </w:p>
    <w:p w:rsidR="003148B6" w:rsidRPr="003148B6" w:rsidRDefault="003148B6" w:rsidP="003148B6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Por este motivo, é importante que o Poder Legislativo, atuando como fiscalizador de atos do Poder Executivo, alerte ao Excelentíssimo Senhor Prefeito Municipal que realize o corte de gastos com pessoal necessário para adequar o índice e permitir que seja feita a contratação das prováveis vagas que serão abertas, uma vez que a educação é prioridade dentro do município.</w:t>
      </w:r>
    </w:p>
    <w:p w:rsidR="00114CAB" w:rsidRDefault="00114CAB" w:rsidP="00114CAB">
      <w:pPr>
        <w:spacing w:line="360" w:lineRule="auto"/>
        <w:jc w:val="both"/>
        <w:rPr>
          <w:rFonts w:eastAsiaTheme="minorHAnsi"/>
          <w:sz w:val="22"/>
        </w:rPr>
      </w:pPr>
    </w:p>
    <w:p w:rsidR="00114CAB" w:rsidRDefault="00114CAB" w:rsidP="00114CAB">
      <w:pPr>
        <w:spacing w:line="360" w:lineRule="auto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III – DO VOTO DO RELATOR</w:t>
      </w:r>
    </w:p>
    <w:p w:rsidR="00114CAB" w:rsidRDefault="00114CAB" w:rsidP="00114CAB">
      <w:pPr>
        <w:spacing w:line="360" w:lineRule="auto"/>
        <w:jc w:val="both"/>
        <w:rPr>
          <w:rFonts w:eastAsiaTheme="minorHAnsi"/>
          <w:b/>
          <w:sz w:val="22"/>
        </w:rPr>
      </w:pPr>
    </w:p>
    <w:p w:rsidR="00114CAB" w:rsidRDefault="003148B6" w:rsidP="00114CAB">
      <w:pPr>
        <w:spacing w:line="360" w:lineRule="auto"/>
        <w:ind w:firstLine="2835"/>
        <w:jc w:val="both"/>
        <w:rPr>
          <w:rFonts w:eastAsiaTheme="minorHAnsi"/>
          <w:b/>
          <w:sz w:val="22"/>
        </w:rPr>
      </w:pPr>
      <w:r>
        <w:rPr>
          <w:rFonts w:eastAsiaTheme="minorHAnsi"/>
          <w:sz w:val="22"/>
        </w:rPr>
        <w:t xml:space="preserve">Em face do disposto, </w:t>
      </w:r>
      <w:r>
        <w:rPr>
          <w:rFonts w:eastAsiaTheme="minorHAnsi"/>
          <w:b/>
          <w:sz w:val="22"/>
        </w:rPr>
        <w:t xml:space="preserve">voto pelo acolhimento da Emenda Modificativa 05/2016, apresentada pela Comissão de Legislação, Justiça e Redação Final, e também voto pelo acolhimento da proposição, com elaboração de expediente que alerte o Excelentíssimo Senhor Prefeito do Município sobre as consequências </w:t>
      </w:r>
      <w:r w:rsidR="00751A9D">
        <w:rPr>
          <w:rFonts w:eastAsiaTheme="minorHAnsi"/>
          <w:b/>
          <w:sz w:val="22"/>
        </w:rPr>
        <w:t>de provimento de vaga com o limite prudencial atingido, e com sugestão de cortes em despesas com pessoal que permita a contratação de novos profissionais da educação.</w:t>
      </w:r>
    </w:p>
    <w:p w:rsidR="00751A9D" w:rsidRPr="00751A9D" w:rsidRDefault="00751A9D" w:rsidP="00114CAB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É como voto.</w:t>
      </w:r>
    </w:p>
    <w:p w:rsidR="00114CAB" w:rsidRDefault="00114CAB" w:rsidP="00114CAB">
      <w:pPr>
        <w:spacing w:line="360" w:lineRule="auto"/>
        <w:jc w:val="both"/>
        <w:rPr>
          <w:rFonts w:eastAsiaTheme="minorHAnsi"/>
          <w:sz w:val="22"/>
        </w:rPr>
      </w:pPr>
    </w:p>
    <w:p w:rsidR="00114CAB" w:rsidRDefault="00114CAB" w:rsidP="00114CAB">
      <w:pPr>
        <w:spacing w:line="360" w:lineRule="auto"/>
        <w:jc w:val="both"/>
        <w:rPr>
          <w:rFonts w:eastAsiaTheme="minorHAnsi"/>
          <w:sz w:val="22"/>
        </w:rPr>
      </w:pPr>
    </w:p>
    <w:p w:rsidR="00114CAB" w:rsidRDefault="00114CAB" w:rsidP="00114CAB">
      <w:pPr>
        <w:spacing w:line="276" w:lineRule="auto"/>
        <w:jc w:val="center"/>
        <w:rPr>
          <w:rFonts w:eastAsiaTheme="minorHAnsi"/>
          <w:b/>
          <w:sz w:val="22"/>
        </w:rPr>
      </w:pPr>
      <w:proofErr w:type="gramStart"/>
      <w:r>
        <w:rPr>
          <w:rFonts w:eastAsiaTheme="minorHAnsi"/>
          <w:b/>
          <w:sz w:val="22"/>
        </w:rPr>
        <w:t xml:space="preserve">Vereador </w:t>
      </w:r>
      <w:r w:rsidR="00751A9D">
        <w:rPr>
          <w:rFonts w:eastAsiaTheme="minorHAnsi"/>
          <w:b/>
          <w:sz w:val="22"/>
        </w:rPr>
        <w:t>SILVIO</w:t>
      </w:r>
      <w:proofErr w:type="gramEnd"/>
      <w:r w:rsidR="00751A9D">
        <w:rPr>
          <w:rFonts w:eastAsiaTheme="minorHAnsi"/>
          <w:b/>
          <w:sz w:val="22"/>
        </w:rPr>
        <w:t xml:space="preserve"> DE MAZZI DOS SANTOS</w:t>
      </w:r>
    </w:p>
    <w:p w:rsidR="00114CAB" w:rsidRPr="00114CAB" w:rsidRDefault="00114CAB" w:rsidP="00114CAB">
      <w:pPr>
        <w:spacing w:line="276" w:lineRule="auto"/>
        <w:jc w:val="center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Relator</w:t>
      </w:r>
    </w:p>
    <w:p w:rsidR="008702DD" w:rsidRDefault="008702DD" w:rsidP="00194D1E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8702DD" w:rsidRDefault="008702DD" w:rsidP="00114CAB">
      <w:pPr>
        <w:spacing w:line="360" w:lineRule="auto"/>
        <w:jc w:val="both"/>
        <w:rPr>
          <w:rFonts w:eastAsiaTheme="minorHAnsi"/>
          <w:sz w:val="22"/>
        </w:rPr>
      </w:pPr>
    </w:p>
    <w:p w:rsidR="00114CAB" w:rsidRDefault="00114CAB" w:rsidP="00114CAB">
      <w:pPr>
        <w:spacing w:line="360" w:lineRule="auto"/>
        <w:jc w:val="both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IV – DA VOTAÇÃO DO RELATÓRIO DO RELATOR</w:t>
      </w:r>
    </w:p>
    <w:p w:rsidR="00114CAB" w:rsidRDefault="00114CAB" w:rsidP="00114CAB">
      <w:pPr>
        <w:spacing w:line="360" w:lineRule="auto"/>
        <w:jc w:val="both"/>
        <w:rPr>
          <w:rFonts w:eastAsiaTheme="minorHAnsi"/>
          <w:b/>
          <w:sz w:val="22"/>
        </w:rPr>
      </w:pPr>
    </w:p>
    <w:p w:rsidR="001B1C92" w:rsidRDefault="00114CAB" w:rsidP="00751A9D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Reunida a Comissão no dia 28 de junho, na Sala das Comissões no Palácio do Poder Legislativo Municipal, presentes os vereadores </w:t>
      </w:r>
      <w:proofErr w:type="spellStart"/>
      <w:r w:rsidR="00751A9D">
        <w:rPr>
          <w:rFonts w:eastAsiaTheme="minorHAnsi"/>
          <w:sz w:val="22"/>
        </w:rPr>
        <w:t>Antonio</w:t>
      </w:r>
      <w:proofErr w:type="spellEnd"/>
      <w:r w:rsidR="00751A9D">
        <w:rPr>
          <w:rFonts w:eastAsiaTheme="minorHAnsi"/>
          <w:sz w:val="22"/>
        </w:rPr>
        <w:t xml:space="preserve"> Navarro Garcia</w:t>
      </w:r>
      <w:r w:rsidR="00B96127">
        <w:rPr>
          <w:rFonts w:eastAsiaTheme="minorHAnsi"/>
          <w:sz w:val="22"/>
        </w:rPr>
        <w:t xml:space="preserve"> (Presidente)</w:t>
      </w:r>
      <w:r>
        <w:rPr>
          <w:rFonts w:eastAsiaTheme="minorHAnsi"/>
          <w:sz w:val="22"/>
        </w:rPr>
        <w:t xml:space="preserve"> e </w:t>
      </w:r>
      <w:r w:rsidR="00751A9D">
        <w:rPr>
          <w:rFonts w:eastAsiaTheme="minorHAnsi"/>
          <w:sz w:val="22"/>
        </w:rPr>
        <w:t>Edson Moreira Guimarães</w:t>
      </w:r>
      <w:r w:rsidR="00B96127">
        <w:rPr>
          <w:rFonts w:eastAsiaTheme="minorHAnsi"/>
          <w:sz w:val="22"/>
        </w:rPr>
        <w:t xml:space="preserve"> (membro).</w:t>
      </w:r>
    </w:p>
    <w:p w:rsidR="00751A9D" w:rsidRPr="00751A9D" w:rsidRDefault="00751A9D" w:rsidP="00751A9D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Acompanharam integralmente o voto do relator, </w:t>
      </w:r>
      <w:r>
        <w:rPr>
          <w:rFonts w:eastAsiaTheme="minorHAnsi"/>
          <w:sz w:val="22"/>
        </w:rPr>
        <w:t xml:space="preserve">acolhendo a Emenda Modificativa 04/2016, o anteprojeto de lei 23/2016 e emissão de expediente ao Senhor </w:t>
      </w:r>
      <w:r>
        <w:rPr>
          <w:rFonts w:eastAsiaTheme="minorHAnsi"/>
          <w:sz w:val="22"/>
        </w:rPr>
        <w:lastRenderedPageBreak/>
        <w:t>Prefeito Municipal para que faça as adequações fiscais para o restabelecimento de um índice cauteloso e prudente de gastos com pessoal.</w:t>
      </w:r>
    </w:p>
    <w:p w:rsidR="001B1C92" w:rsidRDefault="001B1C92" w:rsidP="001B1C92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1B1C92" w:rsidRDefault="001B1C92" w:rsidP="001B1C92">
      <w:pPr>
        <w:spacing w:line="360" w:lineRule="auto"/>
        <w:ind w:firstLine="2835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Sala das Comissões, 28 de junho de 2016</w:t>
      </w:r>
    </w:p>
    <w:p w:rsidR="001B1C92" w:rsidRDefault="001B1C92" w:rsidP="001B1C92">
      <w:pPr>
        <w:spacing w:line="360" w:lineRule="auto"/>
        <w:ind w:firstLine="2835"/>
        <w:jc w:val="both"/>
        <w:rPr>
          <w:rFonts w:eastAsiaTheme="minorHAnsi"/>
          <w:sz w:val="22"/>
        </w:rPr>
      </w:pPr>
    </w:p>
    <w:p w:rsidR="001B1C92" w:rsidRDefault="001B1C92" w:rsidP="001B1C92">
      <w:pPr>
        <w:spacing w:line="360" w:lineRule="auto"/>
        <w:jc w:val="center"/>
        <w:rPr>
          <w:rFonts w:eastAsiaTheme="minorHAnsi"/>
          <w:sz w:val="22"/>
        </w:rPr>
      </w:pPr>
    </w:p>
    <w:p w:rsidR="001B1C92" w:rsidRDefault="001B1C92" w:rsidP="001B1C92">
      <w:pPr>
        <w:spacing w:line="360" w:lineRule="auto"/>
        <w:jc w:val="center"/>
        <w:rPr>
          <w:rFonts w:eastAsiaTheme="minorHAnsi"/>
          <w:sz w:val="22"/>
        </w:rPr>
      </w:pP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Vereador </w:t>
      </w:r>
      <w:r w:rsidR="009D55CC">
        <w:rPr>
          <w:rFonts w:eastAsiaTheme="minorHAnsi"/>
          <w:sz w:val="22"/>
        </w:rPr>
        <w:t>ANTONIO NAVARRO GARCIA</w:t>
      </w: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  <w:r>
        <w:rPr>
          <w:rFonts w:eastAsiaTheme="minorHAnsi"/>
          <w:sz w:val="22"/>
        </w:rPr>
        <w:t>Presidente da Comissão</w:t>
      </w: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</w:p>
    <w:p w:rsidR="00736C02" w:rsidRDefault="00736C02" w:rsidP="00736C02">
      <w:pPr>
        <w:spacing w:line="276" w:lineRule="auto"/>
        <w:jc w:val="center"/>
        <w:rPr>
          <w:rFonts w:eastAsiaTheme="minorHAnsi"/>
          <w:sz w:val="22"/>
        </w:rPr>
      </w:pP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  <w:proofErr w:type="gramStart"/>
      <w:r>
        <w:rPr>
          <w:rFonts w:eastAsiaTheme="minorHAnsi"/>
          <w:sz w:val="22"/>
        </w:rPr>
        <w:t xml:space="preserve">Vereador </w:t>
      </w:r>
      <w:r w:rsidR="009D55CC">
        <w:rPr>
          <w:rFonts w:eastAsiaTheme="minorHAnsi"/>
          <w:sz w:val="22"/>
        </w:rPr>
        <w:t>SILVIO</w:t>
      </w:r>
      <w:proofErr w:type="gramEnd"/>
      <w:r w:rsidR="009D55CC">
        <w:rPr>
          <w:rFonts w:eastAsiaTheme="minorHAnsi"/>
          <w:sz w:val="22"/>
        </w:rPr>
        <w:t xml:space="preserve"> DE MAZZI DOS SANT</w:t>
      </w:r>
      <w:bookmarkStart w:id="0" w:name="_GoBack"/>
      <w:bookmarkEnd w:id="0"/>
      <w:r w:rsidR="009D55CC">
        <w:rPr>
          <w:rFonts w:eastAsiaTheme="minorHAnsi"/>
          <w:sz w:val="22"/>
        </w:rPr>
        <w:t>OS</w:t>
      </w: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  <w:r>
        <w:rPr>
          <w:rFonts w:eastAsiaTheme="minorHAnsi"/>
          <w:sz w:val="22"/>
        </w:rPr>
        <w:t>Relator da Comissão</w:t>
      </w: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</w:p>
    <w:p w:rsidR="00736C02" w:rsidRDefault="00736C02" w:rsidP="00736C02">
      <w:pPr>
        <w:spacing w:line="276" w:lineRule="auto"/>
        <w:jc w:val="center"/>
        <w:rPr>
          <w:rFonts w:eastAsiaTheme="minorHAnsi"/>
          <w:sz w:val="22"/>
        </w:rPr>
      </w:pP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</w:p>
    <w:p w:rsidR="001B1C92" w:rsidRDefault="001B1C92" w:rsidP="00736C02">
      <w:pPr>
        <w:spacing w:line="276" w:lineRule="auto"/>
        <w:jc w:val="center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Vereador </w:t>
      </w:r>
      <w:r w:rsidR="009D55CC">
        <w:rPr>
          <w:rFonts w:eastAsiaTheme="minorHAnsi"/>
          <w:sz w:val="22"/>
        </w:rPr>
        <w:t>EDSON MOREIRA GUIMARÃES</w:t>
      </w:r>
    </w:p>
    <w:p w:rsidR="00736C02" w:rsidRPr="001B1C92" w:rsidRDefault="00736C02" w:rsidP="00736C02">
      <w:pPr>
        <w:spacing w:line="276" w:lineRule="auto"/>
        <w:jc w:val="center"/>
        <w:rPr>
          <w:rFonts w:eastAsiaTheme="minorHAnsi"/>
          <w:sz w:val="22"/>
        </w:rPr>
      </w:pPr>
      <w:r>
        <w:rPr>
          <w:rFonts w:eastAsiaTheme="minorHAnsi"/>
          <w:sz w:val="22"/>
        </w:rPr>
        <w:t>Membro</w:t>
      </w:r>
    </w:p>
    <w:sectPr w:rsidR="00736C02" w:rsidRPr="001B1C92" w:rsidSect="008702DD">
      <w:headerReference w:type="default" r:id="rId8"/>
      <w:type w:val="continuous"/>
      <w:pgSz w:w="11906" w:h="16838"/>
      <w:pgMar w:top="-2410" w:right="1700" w:bottom="1276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2C" w:rsidRDefault="00C12F2C" w:rsidP="006746EF">
      <w:r>
        <w:separator/>
      </w:r>
    </w:p>
  </w:endnote>
  <w:endnote w:type="continuationSeparator" w:id="0">
    <w:p w:rsidR="00C12F2C" w:rsidRDefault="00C12F2C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2C" w:rsidRDefault="00C12F2C" w:rsidP="006746EF">
      <w:r>
        <w:separator/>
      </w:r>
    </w:p>
  </w:footnote>
  <w:footnote w:type="continuationSeparator" w:id="0">
    <w:p w:rsidR="00C12F2C" w:rsidRDefault="00C12F2C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2F7102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8240" behindDoc="1" locked="0" layoutInCell="0" allowOverlap="1" wp14:anchorId="5147F2A2" wp14:editId="50341F72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5" name="Imagem 5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 w:rsidRPr="002F7102">
      <w:rPr>
        <w:rFonts w:ascii="Times New Roman" w:hAnsi="Times New Roman" w:cs="Times New Roman"/>
        <w:b/>
        <w:noProof/>
        <w:sz w:val="20"/>
        <w:lang w:eastAsia="pt-BR"/>
      </w:rPr>
      <w:t>CÂMARA MUNICIPAL DE</w:t>
    </w:r>
    <w:r w:rsidR="004A1E9A" w:rsidRPr="002F7102">
      <w:rPr>
        <w:rFonts w:ascii="Times New Roman" w:hAnsi="Times New Roman" w:cs="Times New Roman"/>
        <w:b/>
        <w:sz w:val="20"/>
      </w:rPr>
      <w:t xml:space="preserve"> </w:t>
    </w:r>
    <w:r w:rsidR="00F07FDA" w:rsidRPr="002F7102">
      <w:rPr>
        <w:rFonts w:ascii="Times New Roman" w:hAnsi="Times New Roman" w:cs="Times New Roman"/>
        <w:b/>
        <w:sz w:val="20"/>
      </w:rPr>
      <w:t>ITAÚNA DO SUL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2F7102">
      <w:rPr>
        <w:rFonts w:ascii="Times New Roman" w:hAnsi="Times New Roman" w:cs="Times New Roman"/>
        <w:b/>
        <w:sz w:val="20"/>
      </w:rPr>
      <w:t xml:space="preserve"> ESTADO DO PARANÁ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Situad</w:t>
    </w:r>
    <w:r w:rsidR="00E419EC" w:rsidRPr="002F7102">
      <w:rPr>
        <w:rFonts w:ascii="Times New Roman" w:hAnsi="Times New Roman" w:cs="Times New Roman"/>
        <w:sz w:val="20"/>
      </w:rPr>
      <w:t>a</w:t>
    </w:r>
    <w:r w:rsidRPr="002F7102">
      <w:rPr>
        <w:rFonts w:ascii="Times New Roman" w:hAnsi="Times New Roman" w:cs="Times New Roman"/>
        <w:sz w:val="20"/>
      </w:rPr>
      <w:t xml:space="preserve"> na Avenida Brasil, nº. 883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CEP – 87980-000 – Centro – Itaúna do Sul – PR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Fone: (44) 3436-1659</w:t>
    </w:r>
    <w:r w:rsidR="002F7102">
      <w:rPr>
        <w:rFonts w:ascii="Times New Roman" w:hAnsi="Times New Roman" w:cs="Times New Roman"/>
        <w:sz w:val="20"/>
      </w:rPr>
      <w:t xml:space="preserve"> / http://www.itaunadosul.pr.leg.br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006FC"/>
    <w:multiLevelType w:val="hybridMultilevel"/>
    <w:tmpl w:val="1F6268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E7C11"/>
    <w:multiLevelType w:val="hybridMultilevel"/>
    <w:tmpl w:val="9A9E2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76ECC"/>
    <w:multiLevelType w:val="hybridMultilevel"/>
    <w:tmpl w:val="81D2EECE"/>
    <w:lvl w:ilvl="0" w:tplc="7332ABA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0246B"/>
    <w:rsid w:val="00017DCC"/>
    <w:rsid w:val="00066461"/>
    <w:rsid w:val="00082DE1"/>
    <w:rsid w:val="00092048"/>
    <w:rsid w:val="000D5677"/>
    <w:rsid w:val="00104BD5"/>
    <w:rsid w:val="001079DD"/>
    <w:rsid w:val="00107EF8"/>
    <w:rsid w:val="0011339D"/>
    <w:rsid w:val="00114CAB"/>
    <w:rsid w:val="001206E4"/>
    <w:rsid w:val="00134562"/>
    <w:rsid w:val="00150E13"/>
    <w:rsid w:val="00186AFE"/>
    <w:rsid w:val="00194D1E"/>
    <w:rsid w:val="001B1C92"/>
    <w:rsid w:val="001C17E3"/>
    <w:rsid w:val="001D190B"/>
    <w:rsid w:val="001F6C12"/>
    <w:rsid w:val="0021096B"/>
    <w:rsid w:val="002250FF"/>
    <w:rsid w:val="00237F21"/>
    <w:rsid w:val="002444D2"/>
    <w:rsid w:val="0025426C"/>
    <w:rsid w:val="00294F09"/>
    <w:rsid w:val="002B3554"/>
    <w:rsid w:val="002B6344"/>
    <w:rsid w:val="002C4E73"/>
    <w:rsid w:val="002F7102"/>
    <w:rsid w:val="00312785"/>
    <w:rsid w:val="003148B6"/>
    <w:rsid w:val="00354FBE"/>
    <w:rsid w:val="00357B39"/>
    <w:rsid w:val="00384D42"/>
    <w:rsid w:val="003B1915"/>
    <w:rsid w:val="003E073C"/>
    <w:rsid w:val="003E0B7E"/>
    <w:rsid w:val="004149C6"/>
    <w:rsid w:val="00434F3C"/>
    <w:rsid w:val="00443455"/>
    <w:rsid w:val="004600CA"/>
    <w:rsid w:val="00467077"/>
    <w:rsid w:val="004A1E9A"/>
    <w:rsid w:val="004F03A3"/>
    <w:rsid w:val="004F778D"/>
    <w:rsid w:val="00536390"/>
    <w:rsid w:val="00551E33"/>
    <w:rsid w:val="005951E5"/>
    <w:rsid w:val="005C3703"/>
    <w:rsid w:val="005E0FC1"/>
    <w:rsid w:val="006018CF"/>
    <w:rsid w:val="006075D7"/>
    <w:rsid w:val="00613DE5"/>
    <w:rsid w:val="00631AD2"/>
    <w:rsid w:val="00633297"/>
    <w:rsid w:val="00634BAF"/>
    <w:rsid w:val="00640C5F"/>
    <w:rsid w:val="00651C43"/>
    <w:rsid w:val="006628DB"/>
    <w:rsid w:val="006746EF"/>
    <w:rsid w:val="00676B99"/>
    <w:rsid w:val="0068141D"/>
    <w:rsid w:val="00693DAC"/>
    <w:rsid w:val="006A7D9E"/>
    <w:rsid w:val="006C3001"/>
    <w:rsid w:val="006E2557"/>
    <w:rsid w:val="006E3E26"/>
    <w:rsid w:val="006F415E"/>
    <w:rsid w:val="006F54BD"/>
    <w:rsid w:val="00700843"/>
    <w:rsid w:val="00714860"/>
    <w:rsid w:val="00736C02"/>
    <w:rsid w:val="00751A9D"/>
    <w:rsid w:val="00787DD7"/>
    <w:rsid w:val="007A1A85"/>
    <w:rsid w:val="007B64C1"/>
    <w:rsid w:val="007C0E54"/>
    <w:rsid w:val="007C0F15"/>
    <w:rsid w:val="007D1757"/>
    <w:rsid w:val="007F523B"/>
    <w:rsid w:val="00856920"/>
    <w:rsid w:val="0086689B"/>
    <w:rsid w:val="008702DD"/>
    <w:rsid w:val="0087263E"/>
    <w:rsid w:val="008A6C37"/>
    <w:rsid w:val="008B3917"/>
    <w:rsid w:val="008C463E"/>
    <w:rsid w:val="008D2738"/>
    <w:rsid w:val="008F261F"/>
    <w:rsid w:val="00911DE9"/>
    <w:rsid w:val="00932794"/>
    <w:rsid w:val="00947A05"/>
    <w:rsid w:val="0096676E"/>
    <w:rsid w:val="00966D97"/>
    <w:rsid w:val="0097058E"/>
    <w:rsid w:val="009C05F8"/>
    <w:rsid w:val="009D55CC"/>
    <w:rsid w:val="009D6E8F"/>
    <w:rsid w:val="00A112E9"/>
    <w:rsid w:val="00A41DCF"/>
    <w:rsid w:val="00A61F2E"/>
    <w:rsid w:val="00A85509"/>
    <w:rsid w:val="00A92BB4"/>
    <w:rsid w:val="00A95BB2"/>
    <w:rsid w:val="00AA2860"/>
    <w:rsid w:val="00AC19B3"/>
    <w:rsid w:val="00AD3854"/>
    <w:rsid w:val="00AD702F"/>
    <w:rsid w:val="00B07999"/>
    <w:rsid w:val="00B91994"/>
    <w:rsid w:val="00B96127"/>
    <w:rsid w:val="00BA0E67"/>
    <w:rsid w:val="00C12F2C"/>
    <w:rsid w:val="00C131A0"/>
    <w:rsid w:val="00C24A89"/>
    <w:rsid w:val="00C4117C"/>
    <w:rsid w:val="00C63671"/>
    <w:rsid w:val="00C80808"/>
    <w:rsid w:val="00C96189"/>
    <w:rsid w:val="00CB0942"/>
    <w:rsid w:val="00CB1328"/>
    <w:rsid w:val="00CD2025"/>
    <w:rsid w:val="00CD4B6D"/>
    <w:rsid w:val="00CE0C31"/>
    <w:rsid w:val="00CE21BB"/>
    <w:rsid w:val="00CF16A8"/>
    <w:rsid w:val="00D01443"/>
    <w:rsid w:val="00D51674"/>
    <w:rsid w:val="00D95D69"/>
    <w:rsid w:val="00DF7D40"/>
    <w:rsid w:val="00E17D73"/>
    <w:rsid w:val="00E40A46"/>
    <w:rsid w:val="00E419EC"/>
    <w:rsid w:val="00E62218"/>
    <w:rsid w:val="00EC2B35"/>
    <w:rsid w:val="00ED75D8"/>
    <w:rsid w:val="00F07FDA"/>
    <w:rsid w:val="00F14728"/>
    <w:rsid w:val="00F31C37"/>
    <w:rsid w:val="00F87360"/>
    <w:rsid w:val="00F96BA9"/>
    <w:rsid w:val="00F97220"/>
    <w:rsid w:val="00FC605D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A92BB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814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8141D"/>
  </w:style>
  <w:style w:type="table" w:customStyle="1" w:styleId="TableNormal">
    <w:name w:val="Table Normal"/>
    <w:rsid w:val="00F14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14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Default">
    <w:name w:val="Default"/>
    <w:rsid w:val="00F972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5FD6-2BE5-4ACC-AD05-A2EE05A6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Marcos Vinicius Bintercourt</cp:lastModifiedBy>
  <cp:revision>3</cp:revision>
  <cp:lastPrinted>2016-06-28T17:07:00Z</cp:lastPrinted>
  <dcterms:created xsi:type="dcterms:W3CDTF">2016-06-28T15:49:00Z</dcterms:created>
  <dcterms:modified xsi:type="dcterms:W3CDTF">2016-06-28T17:07:00Z</dcterms:modified>
</cp:coreProperties>
</file>