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B3" w:rsidRPr="009D01B3" w:rsidRDefault="009D01B3" w:rsidP="009D01B3"/>
    <w:p w:rsidR="009D01B3" w:rsidRPr="009D01B3" w:rsidRDefault="009D01B3" w:rsidP="009D01B3">
      <w:pPr>
        <w:jc w:val="center"/>
      </w:pPr>
      <w:r w:rsidRPr="009D01B3">
        <w:rPr>
          <w:b/>
          <w:bCs/>
        </w:rPr>
        <w:t>PARECER JURÍDICO</w:t>
      </w:r>
    </w:p>
    <w:p w:rsidR="009D01B3" w:rsidRPr="009D01B3" w:rsidRDefault="009D01B3" w:rsidP="009D01B3">
      <w:r w:rsidRPr="009D01B3">
        <w:t>CRÉDITO ADICIONAL ESPECIAL – ANULAÇÃO DE DOTAÇÃO – REQUISITOS LEGAIS – PRESENTES – LEGALIDADE – CONSTITUCIONALIDADE – PRESENTES – REGIME DE U</w:t>
      </w:r>
      <w:r w:rsidR="00B926F5">
        <w:t>R</w:t>
      </w:r>
      <w:r w:rsidRPr="009D01B3">
        <w:t xml:space="preserve">GÊNCIA – VIABILIDADE </w:t>
      </w:r>
    </w:p>
    <w:p w:rsidR="009D01B3" w:rsidRPr="009D01B3" w:rsidRDefault="009D01B3" w:rsidP="009D01B3">
      <w:r w:rsidRPr="009D01B3">
        <w:rPr>
          <w:b/>
          <w:bCs/>
        </w:rPr>
        <w:t xml:space="preserve">I RELATÓRIO </w:t>
      </w:r>
    </w:p>
    <w:p w:rsidR="009D01B3" w:rsidRPr="009D01B3" w:rsidRDefault="00F35C78" w:rsidP="00F35C78">
      <w:pPr>
        <w:tabs>
          <w:tab w:val="left" w:pos="1134"/>
        </w:tabs>
        <w:jc w:val="both"/>
      </w:pPr>
      <w:r>
        <w:tab/>
      </w:r>
      <w:r w:rsidR="009D01B3" w:rsidRPr="009D01B3">
        <w:t xml:space="preserve">Trata-se de projeto de lei n° </w:t>
      </w:r>
      <w:r>
        <w:t>15</w:t>
      </w:r>
      <w:r w:rsidR="009D01B3" w:rsidRPr="009D01B3">
        <w:t>/201</w:t>
      </w:r>
      <w:r>
        <w:t>8</w:t>
      </w:r>
      <w:r w:rsidR="009D01B3" w:rsidRPr="009D01B3">
        <w:t xml:space="preserve"> de autoria do Chefe do Poder Executivo Municipal visando a autorização </w:t>
      </w:r>
      <w:r>
        <w:t xml:space="preserve">da abertura de crédito adicional especial por superávit financeiro de 2017 e por anulação de dotação de recursos vinculados na </w:t>
      </w:r>
      <w:r w:rsidR="009D01B3" w:rsidRPr="009D01B3">
        <w:t>LOA e consequente alteração das Leis Municipais n° 1.</w:t>
      </w:r>
      <w:r>
        <w:t>216</w:t>
      </w:r>
      <w:r w:rsidR="009D01B3" w:rsidRPr="009D01B3">
        <w:t>/201</w:t>
      </w:r>
      <w:r>
        <w:t>7</w:t>
      </w:r>
      <w:r w:rsidR="009D01B3" w:rsidRPr="009D01B3">
        <w:t>; 1.1</w:t>
      </w:r>
      <w:r w:rsidR="003B063A">
        <w:t>98/2017</w:t>
      </w:r>
      <w:r w:rsidR="009D01B3" w:rsidRPr="009D01B3">
        <w:t xml:space="preserve">. </w:t>
      </w:r>
    </w:p>
    <w:p w:rsidR="009D01B3" w:rsidRPr="009D01B3" w:rsidRDefault="003B063A" w:rsidP="003B063A">
      <w:pPr>
        <w:tabs>
          <w:tab w:val="left" w:pos="1134"/>
        </w:tabs>
      </w:pPr>
      <w:r>
        <w:tab/>
      </w:r>
      <w:r w:rsidR="009D01B3" w:rsidRPr="009D01B3">
        <w:t xml:space="preserve">É </w:t>
      </w:r>
      <w:r w:rsidR="009C1F92">
        <w:t xml:space="preserve">o breve </w:t>
      </w:r>
      <w:r w:rsidR="009D01B3" w:rsidRPr="009D01B3">
        <w:t xml:space="preserve">relatório. </w:t>
      </w:r>
    </w:p>
    <w:p w:rsidR="009D01B3" w:rsidRPr="009D01B3" w:rsidRDefault="009D01B3" w:rsidP="009D01B3">
      <w:r w:rsidRPr="009D01B3">
        <w:rPr>
          <w:b/>
          <w:bCs/>
        </w:rPr>
        <w:t xml:space="preserve">II FUNDAMENTAÇÃO </w:t>
      </w:r>
    </w:p>
    <w:p w:rsidR="009D01B3" w:rsidRPr="009D01B3" w:rsidRDefault="003B063A" w:rsidP="003B063A">
      <w:pPr>
        <w:tabs>
          <w:tab w:val="left" w:pos="1134"/>
        </w:tabs>
        <w:jc w:val="both"/>
      </w:pPr>
      <w:r>
        <w:tab/>
      </w:r>
      <w:r w:rsidR="009D01B3" w:rsidRPr="009D01B3">
        <w:t xml:space="preserve">O orçamento público é regido por diversos princípios, dentre eles o princípio da universalidade que estabelece a necessidade de todas as receitas e despesas estarem previstas na LOA. Trata-se, nas palavras de José Afonso da Silva, do “ princípio do orçamento global”.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Ademais há o princípio da unidade, genericamente contemplado no artigo 2° da Lei n° 4.320/1964, cujo </w:t>
      </w:r>
      <w:r w:rsidRPr="009D01B3">
        <w:rPr>
          <w:i/>
          <w:iCs/>
        </w:rPr>
        <w:t xml:space="preserve">caput </w:t>
      </w:r>
      <w:r w:rsidRPr="009D01B3">
        <w:t xml:space="preserve">determina: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Art. 2°. A Lei do Orçamento conterá a discriminação da receita e despesa de forma a evidenciar a política econômica financeira e o programa de trabalho do Governo, obedecidos os princípios da unidade, universalidade e anualidade.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A disciplina normativa dos créditos adicionais está prevista nos artigos 40 a 46 da Lei n° 4.320/1964. Segundo a definição estabelecida no artigo 40, os créditos adicionais são autorizações de despesas não computadas no orçamento ou dotadas de forma insuficiente.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Há três modalidades de créditos adicionais: os créditos suplementares, os créditos especiais e os créditos extraordinários. A diferença entre eles está na sua motivação.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Os créditos suplementares caracterizam-se por serem destinados ao reforço de dotação orçamentária já existente, ou seja, houve precisão da despesa no orçamento, mas no curso da execução orçamentária a referida previsão mostrou-se insuficiente para realizar as despesas necessárias.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Os créditos especiais, por sua vez, assim como os créditos extraordinários caracterizam-se pelo fato de as despesas que devem ser autorizadas não estarem previamente previstas no orçamento municipal. </w:t>
      </w:r>
      <w:r w:rsidR="00437258">
        <w:t>O</w:t>
      </w:r>
      <w:r w:rsidRPr="009D01B3">
        <w:t xml:space="preserve">s créditos especiais são destinados a atender quaisquer despesas para as quais não haja dotação orçamentária, enquanto os créditos extraordinários são aqueles que devem ser utilizados somente para atender as despesas urgentes e imprevistas, como decorrentes de calamidade pública. </w:t>
      </w:r>
    </w:p>
    <w:p w:rsidR="009D01B3" w:rsidRPr="009D01B3" w:rsidRDefault="00437258" w:rsidP="003B063A">
      <w:pPr>
        <w:ind w:firstLine="708"/>
        <w:jc w:val="both"/>
      </w:pPr>
      <w:r>
        <w:t>Conforme o</w:t>
      </w:r>
      <w:r w:rsidR="009D01B3" w:rsidRPr="009D01B3">
        <w:t xml:space="preserve"> disposto no artigo 1° do presente projeto de lei, esse pretende criar </w:t>
      </w:r>
      <w:r>
        <w:t>novas</w:t>
      </w:r>
      <w:r w:rsidR="009D01B3" w:rsidRPr="009D01B3">
        <w:t xml:space="preserve"> despesa</w:t>
      </w:r>
      <w:r>
        <w:t>s</w:t>
      </w:r>
      <w:r w:rsidR="009D01B3" w:rsidRPr="009D01B3">
        <w:t xml:space="preserve"> não previstas anteriormente no orçamento intitulada</w:t>
      </w:r>
      <w:r>
        <w:t>s “material de consumo (Ficha 467), outros serviços de terceiros – pessoa jurídica</w:t>
      </w:r>
      <w:r w:rsidR="009D01B3" w:rsidRPr="009D01B3">
        <w:t xml:space="preserve"> (Ficha </w:t>
      </w:r>
      <w:r>
        <w:t>468</w:t>
      </w:r>
      <w:r w:rsidR="009D01B3" w:rsidRPr="009D01B3">
        <w:t>)</w:t>
      </w:r>
      <w:r>
        <w:t xml:space="preserve"> e equipamentos de material permanente (Ficha </w:t>
      </w:r>
      <w:proofErr w:type="gramStart"/>
      <w:r>
        <w:t>469)</w:t>
      </w:r>
      <w:r w:rsidR="009D01B3" w:rsidRPr="009D01B3">
        <w:t>”</w:t>
      </w:r>
      <w:proofErr w:type="gramEnd"/>
      <w:r w:rsidR="009D01B3" w:rsidRPr="009D01B3">
        <w:t xml:space="preserve">. Tratando-se então de abertura de crédito adicional especial. </w:t>
      </w:r>
    </w:p>
    <w:p w:rsidR="009D01B3" w:rsidRPr="009D01B3" w:rsidRDefault="009D01B3" w:rsidP="003B063A">
      <w:pPr>
        <w:ind w:firstLine="708"/>
        <w:jc w:val="both"/>
      </w:pPr>
      <w:r w:rsidRPr="009D01B3">
        <w:lastRenderedPageBreak/>
        <w:t xml:space="preserve">A Lei 4.320/1964 em seu artigo 43 determina que a abertura de créditos adicionais especiais depende da existência de recursos disponíveis para ocorrer a despesa, além do que a autorização de abertura de crédito especial deverá ser precedida de justificativa.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Os recursos a serem indicados para abertura do crédito especial podem decorrer de superávit financeiro, excesso de arrecadação, anulação de dotações orçamentárias ou de créditos adicionais autorizados por lei, e ainda por produto de operações de crédito previamente autorizadas. </w:t>
      </w:r>
    </w:p>
    <w:p w:rsidR="00B91B8C" w:rsidRDefault="009D01B3" w:rsidP="003B063A">
      <w:pPr>
        <w:ind w:firstLine="708"/>
        <w:jc w:val="both"/>
      </w:pPr>
      <w:r w:rsidRPr="009D01B3">
        <w:t>De acordo com o artigo 2° do projeto de lei analisado</w:t>
      </w:r>
      <w:r w:rsidR="00B948EC">
        <w:t>,</w:t>
      </w:r>
      <w:r w:rsidRPr="009D01B3">
        <w:t xml:space="preserve"> os recursos utilizados na abertura deste crédit</w:t>
      </w:r>
      <w:r w:rsidR="00B926F5">
        <w:t>o especial serão provenientes do superávit financeiro 2017</w:t>
      </w:r>
      <w:r w:rsidRPr="009D01B3">
        <w:t xml:space="preserve"> de </w:t>
      </w:r>
      <w:r w:rsidR="00B91B8C">
        <w:t xml:space="preserve">recursos vinculados </w:t>
      </w:r>
      <w:r w:rsidRPr="009D01B3">
        <w:t>proveniente</w:t>
      </w:r>
      <w:r w:rsidR="00B91B8C">
        <w:t>s</w:t>
      </w:r>
      <w:r w:rsidRPr="009D01B3">
        <w:t xml:space="preserve"> d</w:t>
      </w:r>
      <w:r w:rsidR="00B91B8C">
        <w:t>o Programa FIA SCFV Criança e Adolescente</w:t>
      </w:r>
      <w:r w:rsidR="00B948EC">
        <w:t xml:space="preserve">. </w:t>
      </w:r>
    </w:p>
    <w:p w:rsidR="009D01B3" w:rsidRPr="009D01B3" w:rsidRDefault="00B91B8C" w:rsidP="003B063A">
      <w:pPr>
        <w:ind w:firstLine="708"/>
        <w:jc w:val="both"/>
      </w:pPr>
      <w:r>
        <w:t>Conforme previsão no artigo 3°, os créditos serão cobertos também, através do cancelamento de dotação orçamentária vigente</w:t>
      </w:r>
      <w:r w:rsidR="00DB4C3C">
        <w:t>,</w:t>
      </w:r>
      <w:r>
        <w:t xml:space="preserve"> </w:t>
      </w:r>
      <w:r w:rsidR="00BD66D7">
        <w:t xml:space="preserve">proveniente </w:t>
      </w:r>
      <w:r w:rsidR="00DB4C3C">
        <w:t>de Recursos Ordinários (Livres),</w:t>
      </w:r>
      <w:r w:rsidR="009D01B3" w:rsidRPr="009D01B3">
        <w:t xml:space="preserve"> </w:t>
      </w:r>
      <w:r w:rsidR="00DB4C3C" w:rsidRPr="00DB4C3C">
        <w:t>de modo que cumpre adequadamente os requisitos da Lei n° 4.320/1964.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Por fim, deve se ter claro que os créditos adicionais terão vigência adstrita ao exercício financeiro em que forem abertos, salvo as exceções constitucionais e legais. </w:t>
      </w:r>
    </w:p>
    <w:p w:rsidR="009D01B3" w:rsidRPr="009D01B3" w:rsidRDefault="009D01B3" w:rsidP="003B063A">
      <w:pPr>
        <w:jc w:val="both"/>
      </w:pPr>
    </w:p>
    <w:p w:rsidR="009D01B3" w:rsidRPr="009D01B3" w:rsidRDefault="009D01B3" w:rsidP="003B063A">
      <w:pPr>
        <w:jc w:val="both"/>
      </w:pPr>
      <w:r w:rsidRPr="009D01B3">
        <w:rPr>
          <w:b/>
          <w:bCs/>
        </w:rPr>
        <w:t xml:space="preserve">III PARECER </w:t>
      </w:r>
    </w:p>
    <w:p w:rsidR="009D01B3" w:rsidRPr="009D01B3" w:rsidRDefault="009D01B3" w:rsidP="003B063A">
      <w:pPr>
        <w:ind w:firstLine="708"/>
        <w:jc w:val="both"/>
      </w:pPr>
      <w:r w:rsidRPr="009D01B3">
        <w:t>Em análise, de cunho estritamente jurídico, constatou-se que o projeto</w:t>
      </w:r>
      <w:r w:rsidR="00954FAD">
        <w:t xml:space="preserve"> de lei n° 15</w:t>
      </w:r>
      <w:r w:rsidRPr="009D01B3">
        <w:t>/201</w:t>
      </w:r>
      <w:r w:rsidR="00954FAD">
        <w:t>8</w:t>
      </w:r>
      <w:r w:rsidRPr="009D01B3">
        <w:t xml:space="preserve"> encontra-se em conformidade com as normas estabelecidas na Constituição Federal (art. 30, I; art. 166; art. 167) </w:t>
      </w:r>
      <w:r w:rsidR="00AF29FF">
        <w:t>e pela Lei Federal nº 4.320/1964</w:t>
      </w:r>
      <w:r w:rsidRPr="009D01B3">
        <w:t xml:space="preserve">. Desta forma, analisados os pontos já elencados, encontrando-se todos cumpridos, esta assessoria jurídica não vislumbra qualquer indício de ilegalidade ou inconstitucionalidade neste projeto de lei, sendo este um parecer técnico, de cunho jurídico, que de modo algum vincula o plenário da Casa de Leis ou o julgamento a ser realizado pelos egrégios vereadores. </w:t>
      </w:r>
    </w:p>
    <w:p w:rsidR="009D01B3" w:rsidRPr="009D01B3" w:rsidRDefault="009D01B3" w:rsidP="003B063A">
      <w:pPr>
        <w:ind w:firstLine="708"/>
        <w:jc w:val="both"/>
      </w:pPr>
      <w:r w:rsidRPr="009D01B3">
        <w:t xml:space="preserve">É o parecer. </w:t>
      </w:r>
    </w:p>
    <w:p w:rsidR="009D01B3" w:rsidRPr="009D01B3" w:rsidRDefault="00954FAD" w:rsidP="003B063A">
      <w:pPr>
        <w:jc w:val="both"/>
      </w:pPr>
      <w:r>
        <w:t>Sala da Assessoria Jurídica, 18</w:t>
      </w:r>
      <w:r w:rsidR="009D01B3" w:rsidRPr="009D01B3">
        <w:t xml:space="preserve"> de </w:t>
      </w:r>
      <w:r>
        <w:t>abril</w:t>
      </w:r>
      <w:r w:rsidR="009D01B3" w:rsidRPr="009D01B3">
        <w:t xml:space="preserve"> de 201</w:t>
      </w:r>
      <w:r>
        <w:t>8.</w:t>
      </w:r>
      <w:r w:rsidR="009D01B3" w:rsidRPr="009D01B3">
        <w:t xml:space="preserve"> </w:t>
      </w:r>
    </w:p>
    <w:p w:rsidR="009D01B3" w:rsidRPr="009D01B3" w:rsidRDefault="00954FAD" w:rsidP="003B063A">
      <w:pPr>
        <w:jc w:val="both"/>
      </w:pPr>
      <w:r>
        <w:t xml:space="preserve">Fernanda Roberta </w:t>
      </w:r>
      <w:proofErr w:type="spellStart"/>
      <w:r>
        <w:t>Sasso</w:t>
      </w:r>
      <w:proofErr w:type="spellEnd"/>
      <w:r>
        <w:t xml:space="preserve"> Mello</w:t>
      </w:r>
      <w:r w:rsidR="009D01B3" w:rsidRPr="009D01B3">
        <w:t xml:space="preserve"> </w:t>
      </w:r>
    </w:p>
    <w:p w:rsidR="009D01B3" w:rsidRPr="009D01B3" w:rsidRDefault="009D01B3" w:rsidP="003B063A">
      <w:pPr>
        <w:jc w:val="both"/>
      </w:pPr>
      <w:r w:rsidRPr="009D01B3">
        <w:t xml:space="preserve">Assessora Jurídica </w:t>
      </w:r>
    </w:p>
    <w:p w:rsidR="003E1A9D" w:rsidRPr="009D01B3" w:rsidRDefault="009D01B3" w:rsidP="003B063A">
      <w:pPr>
        <w:jc w:val="both"/>
      </w:pPr>
      <w:r w:rsidRPr="009D01B3">
        <w:t>(</w:t>
      </w:r>
      <w:proofErr w:type="gramStart"/>
      <w:r w:rsidRPr="009D01B3">
        <w:t>assinado</w:t>
      </w:r>
      <w:proofErr w:type="gramEnd"/>
      <w:r w:rsidRPr="009D01B3">
        <w:t xml:space="preserve"> digitalmente)</w:t>
      </w:r>
      <w:bookmarkStart w:id="0" w:name="_GoBack"/>
      <w:bookmarkEnd w:id="0"/>
    </w:p>
    <w:sectPr w:rsidR="003E1A9D" w:rsidRPr="009D0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9D"/>
    <w:rsid w:val="003B063A"/>
    <w:rsid w:val="003E1A9D"/>
    <w:rsid w:val="004126F0"/>
    <w:rsid w:val="00437258"/>
    <w:rsid w:val="007F49BD"/>
    <w:rsid w:val="00954FAD"/>
    <w:rsid w:val="009C1F92"/>
    <w:rsid w:val="009D01B3"/>
    <w:rsid w:val="00A1470A"/>
    <w:rsid w:val="00AF29FF"/>
    <w:rsid w:val="00B91B8C"/>
    <w:rsid w:val="00B926F5"/>
    <w:rsid w:val="00B948EC"/>
    <w:rsid w:val="00BD66D7"/>
    <w:rsid w:val="00DB4C3C"/>
    <w:rsid w:val="00F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FCE5-FBC0-4DE2-BADF-8DC9F7BC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2018-04-17T14:47:00Z</dcterms:created>
  <dcterms:modified xsi:type="dcterms:W3CDTF">2018-04-17T19:16:00Z</dcterms:modified>
</cp:coreProperties>
</file>